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1158" w14:textId="1E50AC30" w:rsidR="00AE17AC" w:rsidRPr="00AE17AC" w:rsidRDefault="00AE17AC" w:rsidP="00AE17AC">
      <w:pPr>
        <w:pStyle w:val="Header"/>
        <w:tabs>
          <w:tab w:val="left" w:pos="5812"/>
          <w:tab w:val="left" w:pos="7797"/>
        </w:tabs>
        <w:jc w:val="center"/>
        <w:rPr>
          <w:b/>
          <w:bCs/>
          <w:noProof/>
          <w:sz w:val="28"/>
          <w:szCs w:val="28"/>
        </w:rPr>
      </w:pPr>
      <w:r w:rsidRPr="00AE17AC">
        <w:rPr>
          <w:b/>
          <w:bCs/>
          <w:noProof/>
          <w:sz w:val="28"/>
          <w:szCs w:val="28"/>
        </w:rPr>
        <w:t>Visos Europos ir Viduržemio jūros regiono lengvatinių kilmės taisyklių taikymo pasikeitimai</w:t>
      </w:r>
    </w:p>
    <w:p w14:paraId="1F471132" w14:textId="77777777" w:rsidR="00AE17AC" w:rsidRDefault="00AE17AC" w:rsidP="00AE17AC">
      <w:pPr>
        <w:pStyle w:val="Header"/>
        <w:tabs>
          <w:tab w:val="left" w:pos="5812"/>
          <w:tab w:val="left" w:pos="7797"/>
        </w:tabs>
        <w:rPr>
          <w:noProof/>
          <w:sz w:val="24"/>
        </w:rPr>
      </w:pPr>
    </w:p>
    <w:p w14:paraId="046B75CC" w14:textId="77777777" w:rsidR="00AE17AC" w:rsidRDefault="00AE17AC" w:rsidP="00AE17AC">
      <w:pPr>
        <w:pStyle w:val="Header"/>
        <w:tabs>
          <w:tab w:val="left" w:pos="5812"/>
          <w:tab w:val="left" w:pos="7797"/>
        </w:tabs>
        <w:rPr>
          <w:noProof/>
          <w:sz w:val="24"/>
        </w:rPr>
      </w:pPr>
    </w:p>
    <w:p w14:paraId="2992C34A" w14:textId="777671EC" w:rsidR="00AE17AC" w:rsidRPr="008E03A1" w:rsidRDefault="00AE17AC" w:rsidP="00AE17AC">
      <w:pPr>
        <w:ind w:firstLine="720"/>
        <w:jc w:val="both"/>
        <w:rPr>
          <w:sz w:val="24"/>
          <w:szCs w:val="24"/>
        </w:rPr>
      </w:pPr>
      <w:bookmarkStart w:id="0" w:name="_Hlk80773654"/>
      <w:r w:rsidRPr="008E03A1">
        <w:rPr>
          <w:sz w:val="24"/>
          <w:szCs w:val="24"/>
        </w:rPr>
        <w:t xml:space="preserve">Visos Europos ir Viduržemio jūros regiono </w:t>
      </w:r>
      <w:bookmarkEnd w:id="0"/>
      <w:r w:rsidRPr="008E03A1">
        <w:rPr>
          <w:sz w:val="24"/>
          <w:szCs w:val="24"/>
        </w:rPr>
        <w:t>(toliau - PEM) kilmės kumuliacijos sistema leidžia taikyti įstrižinę kilmės kumuliaciją tarp E</w:t>
      </w:r>
      <w:r w:rsidR="00E3608C">
        <w:rPr>
          <w:sz w:val="24"/>
          <w:szCs w:val="24"/>
        </w:rPr>
        <w:t xml:space="preserve">uropos </w:t>
      </w:r>
      <w:r w:rsidRPr="008E03A1">
        <w:rPr>
          <w:sz w:val="24"/>
          <w:szCs w:val="24"/>
        </w:rPr>
        <w:t>S</w:t>
      </w:r>
      <w:r w:rsidR="00E3608C">
        <w:rPr>
          <w:sz w:val="24"/>
          <w:szCs w:val="24"/>
        </w:rPr>
        <w:t>ąjungos</w:t>
      </w:r>
      <w:r w:rsidRPr="008E03A1">
        <w:rPr>
          <w:sz w:val="24"/>
          <w:szCs w:val="24"/>
        </w:rPr>
        <w:t xml:space="preserve">, ELPA valstybių, Turkijos, Barselonos deklaraciją pasirašiusių šalių, Vakarų Balkanų </w:t>
      </w:r>
      <w:r w:rsidR="004C6D8A" w:rsidRPr="008E03A1">
        <w:rPr>
          <w:sz w:val="24"/>
          <w:szCs w:val="24"/>
        </w:rPr>
        <w:t xml:space="preserve">valstybių </w:t>
      </w:r>
      <w:r w:rsidRPr="008E03A1">
        <w:rPr>
          <w:sz w:val="24"/>
          <w:szCs w:val="24"/>
        </w:rPr>
        <w:t>ir Farerų salų. Ji pagrįsta laisvosios prekybos susitarimų, turinči</w:t>
      </w:r>
      <w:r w:rsidR="00C34947">
        <w:rPr>
          <w:sz w:val="24"/>
          <w:szCs w:val="24"/>
        </w:rPr>
        <w:t>ų</w:t>
      </w:r>
      <w:r w:rsidRPr="008E03A1">
        <w:rPr>
          <w:sz w:val="24"/>
          <w:szCs w:val="24"/>
        </w:rPr>
        <w:t xml:space="preserve"> identiškus kilmės protokolus</w:t>
      </w:r>
      <w:r w:rsidR="004C6D8A" w:rsidRPr="008E03A1">
        <w:rPr>
          <w:sz w:val="24"/>
          <w:szCs w:val="24"/>
        </w:rPr>
        <w:t>, visuma</w:t>
      </w:r>
      <w:r w:rsidRPr="008E03A1">
        <w:rPr>
          <w:sz w:val="24"/>
          <w:szCs w:val="24"/>
        </w:rPr>
        <w:t xml:space="preserve">. Šie kilmės protokolai pakeičiami nuoroda į Visos Europos ir Viduržemio jūros regiono lengvatinių kilmės taisyklių regioninę konvenciją (toliau </w:t>
      </w:r>
      <w:r w:rsidR="00E3608C">
        <w:rPr>
          <w:sz w:val="24"/>
          <w:szCs w:val="24"/>
        </w:rPr>
        <w:t>‒</w:t>
      </w:r>
      <w:r w:rsidRPr="008E03A1">
        <w:rPr>
          <w:sz w:val="24"/>
          <w:szCs w:val="24"/>
        </w:rPr>
        <w:t xml:space="preserve"> </w:t>
      </w:r>
      <w:r w:rsidR="00233A6D">
        <w:rPr>
          <w:sz w:val="24"/>
          <w:szCs w:val="24"/>
        </w:rPr>
        <w:t>K</w:t>
      </w:r>
      <w:r w:rsidRPr="008E03A1">
        <w:rPr>
          <w:sz w:val="24"/>
          <w:szCs w:val="24"/>
        </w:rPr>
        <w:t xml:space="preserve">onvencija). Europos Komisija </w:t>
      </w:r>
      <w:r w:rsidR="007C1AEE">
        <w:rPr>
          <w:sz w:val="24"/>
          <w:szCs w:val="24"/>
        </w:rPr>
        <w:t xml:space="preserve">internetinėje svetainėje </w:t>
      </w:r>
      <w:r w:rsidRPr="008E03A1">
        <w:rPr>
          <w:sz w:val="24"/>
          <w:szCs w:val="24"/>
        </w:rPr>
        <w:t xml:space="preserve">nuolat </w:t>
      </w:r>
      <w:r w:rsidR="00D6541E" w:rsidRPr="00242A78">
        <w:rPr>
          <w:sz w:val="24"/>
          <w:szCs w:val="24"/>
        </w:rPr>
        <w:t>publikuoja</w:t>
      </w:r>
      <w:r w:rsidR="00D6541E" w:rsidRPr="00242A78">
        <w:t xml:space="preserve"> </w:t>
      </w:r>
      <w:hyperlink r:id="rId8" w:history="1">
        <w:r w:rsidR="00D6541E" w:rsidRPr="00D6541E">
          <w:rPr>
            <w:rStyle w:val="Hyperlink"/>
            <w:sz w:val="24"/>
            <w:szCs w:val="24"/>
          </w:rPr>
          <w:t>pranešimus</w:t>
        </w:r>
      </w:hyperlink>
      <w:r w:rsidR="00C34947">
        <w:t xml:space="preserve"> </w:t>
      </w:r>
      <w:r w:rsidR="00C34947" w:rsidRPr="00C34947">
        <w:rPr>
          <w:sz w:val="24"/>
          <w:szCs w:val="24"/>
        </w:rPr>
        <w:t>(</w:t>
      </w:r>
      <w:r w:rsidR="00C34947" w:rsidRPr="000671CB">
        <w:rPr>
          <w:i/>
          <w:iCs/>
          <w:sz w:val="24"/>
          <w:szCs w:val="24"/>
        </w:rPr>
        <w:t>angl.</w:t>
      </w:r>
      <w:r w:rsidR="00C34947" w:rsidRPr="00C34947">
        <w:rPr>
          <w:sz w:val="24"/>
          <w:szCs w:val="24"/>
        </w:rPr>
        <w:t xml:space="preserve"> </w:t>
      </w:r>
      <w:r w:rsidR="00C34947" w:rsidRPr="00C34947">
        <w:rPr>
          <w:i/>
          <w:iCs/>
          <w:sz w:val="24"/>
          <w:szCs w:val="24"/>
        </w:rPr>
        <w:t>an updated advanced copy of the matrix</w:t>
      </w:r>
      <w:r w:rsidR="00C34947" w:rsidRPr="00C34947">
        <w:rPr>
          <w:sz w:val="24"/>
          <w:szCs w:val="24"/>
        </w:rPr>
        <w:t>)</w:t>
      </w:r>
      <w:r w:rsidR="00242A78">
        <w:rPr>
          <w:sz w:val="24"/>
          <w:szCs w:val="24"/>
        </w:rPr>
        <w:t xml:space="preserve">, kuriuose nurodomos </w:t>
      </w:r>
      <w:r w:rsidR="00474F61">
        <w:rPr>
          <w:sz w:val="24"/>
          <w:szCs w:val="24"/>
        </w:rPr>
        <w:t>K</w:t>
      </w:r>
      <w:r w:rsidRPr="008E03A1">
        <w:rPr>
          <w:sz w:val="24"/>
          <w:szCs w:val="24"/>
        </w:rPr>
        <w:t>onvencijos Susitariančiosios Šal</w:t>
      </w:r>
      <w:r w:rsidR="004C6D8A" w:rsidRPr="008E03A1">
        <w:rPr>
          <w:sz w:val="24"/>
          <w:szCs w:val="24"/>
        </w:rPr>
        <w:t>ys</w:t>
      </w:r>
      <w:r w:rsidR="00242A78">
        <w:rPr>
          <w:sz w:val="24"/>
          <w:szCs w:val="24"/>
        </w:rPr>
        <w:t>,</w:t>
      </w:r>
      <w:r w:rsidRPr="008E03A1">
        <w:rPr>
          <w:sz w:val="24"/>
          <w:szCs w:val="24"/>
        </w:rPr>
        <w:t xml:space="preserve"> gali</w:t>
      </w:r>
      <w:r w:rsidR="00242A78">
        <w:rPr>
          <w:sz w:val="24"/>
          <w:szCs w:val="24"/>
        </w:rPr>
        <w:t>nčios</w:t>
      </w:r>
      <w:r w:rsidRPr="008E03A1">
        <w:rPr>
          <w:sz w:val="24"/>
          <w:szCs w:val="24"/>
        </w:rPr>
        <w:t xml:space="preserve"> taikyti įstrižinę kilmės kumuliaciją.</w:t>
      </w:r>
    </w:p>
    <w:p w14:paraId="17ECB47F" w14:textId="08D9B34A" w:rsidR="00233A6D" w:rsidRPr="00233A6D" w:rsidRDefault="00AE17AC" w:rsidP="00233A6D">
      <w:pPr>
        <w:ind w:firstLine="720"/>
        <w:jc w:val="both"/>
        <w:rPr>
          <w:sz w:val="24"/>
          <w:szCs w:val="24"/>
          <w:lang w:val="lt"/>
        </w:rPr>
      </w:pPr>
      <w:r w:rsidRPr="008E03A1">
        <w:rPr>
          <w:sz w:val="24"/>
          <w:szCs w:val="24"/>
        </w:rPr>
        <w:t>Siek</w:t>
      </w:r>
      <w:r w:rsidR="00C260E8">
        <w:rPr>
          <w:sz w:val="24"/>
          <w:szCs w:val="24"/>
        </w:rPr>
        <w:t>damos</w:t>
      </w:r>
      <w:r w:rsidRPr="008E03A1">
        <w:rPr>
          <w:sz w:val="24"/>
          <w:szCs w:val="24"/>
        </w:rPr>
        <w:t xml:space="preserve"> kilmės taisykles pritaikyti prie besikeičiančių ekonominių sąlygų</w:t>
      </w:r>
      <w:r w:rsidR="00233A6D">
        <w:rPr>
          <w:sz w:val="24"/>
          <w:szCs w:val="24"/>
        </w:rPr>
        <w:t>,</w:t>
      </w:r>
      <w:r w:rsidRPr="008E03A1">
        <w:rPr>
          <w:sz w:val="24"/>
          <w:szCs w:val="24"/>
        </w:rPr>
        <w:t xml:space="preserve"> PEM šalys 2012 m. pradėjo diskusijas dėl </w:t>
      </w:r>
      <w:r w:rsidR="00233A6D">
        <w:rPr>
          <w:sz w:val="24"/>
          <w:szCs w:val="24"/>
        </w:rPr>
        <w:t>K</w:t>
      </w:r>
      <w:r w:rsidRPr="008E03A1">
        <w:rPr>
          <w:sz w:val="24"/>
          <w:szCs w:val="24"/>
        </w:rPr>
        <w:t xml:space="preserve">onvencijos modernizavimo. </w:t>
      </w:r>
      <w:r w:rsidR="00233A6D" w:rsidRPr="00233A6D">
        <w:rPr>
          <w:sz w:val="24"/>
          <w:szCs w:val="24"/>
          <w:lang w:val="lt"/>
        </w:rPr>
        <w:t>Konvencija buvo iš dalies pakeista 2023</w:t>
      </w:r>
      <w:r w:rsidR="00474F61">
        <w:rPr>
          <w:sz w:val="24"/>
          <w:szCs w:val="24"/>
          <w:lang w:val="lt"/>
        </w:rPr>
        <w:t> </w:t>
      </w:r>
      <w:r w:rsidR="00233A6D" w:rsidRPr="00233A6D">
        <w:rPr>
          <w:sz w:val="24"/>
          <w:szCs w:val="24"/>
          <w:lang w:val="lt"/>
        </w:rPr>
        <w:t xml:space="preserve">m. gruodžio 7 d. </w:t>
      </w:r>
      <w:bookmarkStart w:id="1" w:name="_Hlk185240851"/>
      <w:r w:rsidR="00233A6D" w:rsidRPr="00233A6D">
        <w:rPr>
          <w:sz w:val="24"/>
          <w:szCs w:val="24"/>
          <w:lang w:val="lt"/>
        </w:rPr>
        <w:t xml:space="preserve">Visos Europos ir Viduržemio jūros regiono valstybių preferencinių kilmės taisyklių regioninės konvencijos </w:t>
      </w:r>
      <w:bookmarkEnd w:id="1"/>
      <w:r w:rsidR="00233A6D" w:rsidRPr="00233A6D">
        <w:rPr>
          <w:sz w:val="24"/>
          <w:szCs w:val="24"/>
          <w:lang w:val="lt"/>
        </w:rPr>
        <w:t xml:space="preserve">jungtinio komiteto sprendimu </w:t>
      </w:r>
      <w:hyperlink r:id="rId9" w:history="1">
        <w:r w:rsidR="00233A6D" w:rsidRPr="007C1AEE">
          <w:rPr>
            <w:rStyle w:val="Hyperlink"/>
            <w:sz w:val="24"/>
            <w:szCs w:val="24"/>
            <w:lang w:val="lt"/>
          </w:rPr>
          <w:t>Nr. 1/2023</w:t>
        </w:r>
      </w:hyperlink>
      <w:r w:rsidR="00233A6D" w:rsidRPr="00233A6D">
        <w:rPr>
          <w:sz w:val="24"/>
          <w:szCs w:val="24"/>
          <w:lang w:val="lt"/>
        </w:rPr>
        <w:t xml:space="preserve">. </w:t>
      </w:r>
      <w:r w:rsidR="00233A6D" w:rsidRPr="00233A6D">
        <w:rPr>
          <w:sz w:val="24"/>
          <w:szCs w:val="24"/>
        </w:rPr>
        <w:t xml:space="preserve">Šis </w:t>
      </w:r>
      <w:r w:rsidR="00233A6D" w:rsidRPr="00233A6D">
        <w:rPr>
          <w:sz w:val="24"/>
          <w:szCs w:val="24"/>
          <w:lang w:val="lt"/>
        </w:rPr>
        <w:t>pakeitimas įsigalio</w:t>
      </w:r>
      <w:r w:rsidR="00233A6D">
        <w:rPr>
          <w:sz w:val="24"/>
          <w:szCs w:val="24"/>
          <w:lang w:val="lt"/>
        </w:rPr>
        <w:t>j</w:t>
      </w:r>
      <w:r w:rsidR="00C34947">
        <w:rPr>
          <w:sz w:val="24"/>
          <w:szCs w:val="24"/>
          <w:lang w:val="lt"/>
        </w:rPr>
        <w:t>o</w:t>
      </w:r>
      <w:r w:rsidR="00233A6D" w:rsidRPr="00233A6D">
        <w:rPr>
          <w:sz w:val="24"/>
          <w:szCs w:val="24"/>
          <w:lang w:val="lt"/>
        </w:rPr>
        <w:t xml:space="preserve"> 2025 m. sausio 1 d. Įsigaliojus pakeitimui </w:t>
      </w:r>
      <w:r w:rsidR="000671CB">
        <w:rPr>
          <w:sz w:val="24"/>
          <w:szCs w:val="24"/>
          <w:lang w:val="lt"/>
        </w:rPr>
        <w:t xml:space="preserve">iki šiol galiojusios </w:t>
      </w:r>
      <w:r w:rsidR="00233A6D" w:rsidRPr="00233A6D">
        <w:rPr>
          <w:sz w:val="24"/>
          <w:szCs w:val="24"/>
          <w:lang w:val="lt"/>
        </w:rPr>
        <w:t xml:space="preserve">Konvencijos </w:t>
      </w:r>
      <w:r w:rsidR="000671CB" w:rsidRPr="00FD0EA5">
        <w:rPr>
          <w:sz w:val="24"/>
          <w:szCs w:val="24"/>
          <w:lang w:val="lt"/>
        </w:rPr>
        <w:t>(senoji Konvencija)</w:t>
      </w:r>
      <w:r w:rsidR="000671CB">
        <w:rPr>
          <w:sz w:val="24"/>
          <w:szCs w:val="24"/>
          <w:lang w:val="lt"/>
        </w:rPr>
        <w:t xml:space="preserve"> </w:t>
      </w:r>
      <w:r w:rsidR="00233A6D" w:rsidRPr="00233A6D">
        <w:rPr>
          <w:sz w:val="24"/>
          <w:szCs w:val="24"/>
          <w:lang w:val="lt"/>
        </w:rPr>
        <w:t>taisyklės nebe</w:t>
      </w:r>
      <w:r w:rsidR="00C34947">
        <w:rPr>
          <w:sz w:val="24"/>
          <w:szCs w:val="24"/>
          <w:lang w:val="lt"/>
        </w:rPr>
        <w:t>taikomos</w:t>
      </w:r>
      <w:r w:rsidR="00233A6D" w:rsidRPr="00233A6D">
        <w:rPr>
          <w:sz w:val="24"/>
          <w:szCs w:val="24"/>
          <w:lang w:val="lt"/>
        </w:rPr>
        <w:t>. Konvencijos,</w:t>
      </w:r>
      <w:r w:rsidR="00C34947">
        <w:rPr>
          <w:sz w:val="24"/>
          <w:szCs w:val="24"/>
          <w:lang w:val="lt"/>
        </w:rPr>
        <w:t xml:space="preserve"> kuri buvo iš dalies pakeista ir</w:t>
      </w:r>
      <w:r w:rsidR="00233A6D" w:rsidRPr="00233A6D">
        <w:rPr>
          <w:sz w:val="24"/>
          <w:szCs w:val="24"/>
          <w:lang w:val="lt"/>
        </w:rPr>
        <w:t xml:space="preserve"> taikoma nuo 2025 m. sausio 1 d. (peržiūrėta Konvencija)</w:t>
      </w:r>
      <w:r w:rsidR="00F24A76">
        <w:rPr>
          <w:sz w:val="24"/>
          <w:szCs w:val="24"/>
          <w:lang w:val="lt"/>
        </w:rPr>
        <w:t>,</w:t>
      </w:r>
      <w:r w:rsidR="00233A6D" w:rsidRPr="00233A6D">
        <w:rPr>
          <w:sz w:val="24"/>
          <w:szCs w:val="24"/>
          <w:lang w:val="lt"/>
        </w:rPr>
        <w:t xml:space="preserve"> kilmės taisyklės atitinka perinamojo laikotarpio kilmės taisykles</w:t>
      </w:r>
      <w:r w:rsidR="00C34947">
        <w:rPr>
          <w:sz w:val="24"/>
          <w:szCs w:val="24"/>
          <w:lang w:val="lt"/>
        </w:rPr>
        <w:t>, kurios galiojo iki</w:t>
      </w:r>
      <w:r w:rsidR="00233A6D" w:rsidRPr="00233A6D">
        <w:rPr>
          <w:sz w:val="24"/>
          <w:szCs w:val="24"/>
          <w:lang w:val="lt"/>
        </w:rPr>
        <w:t xml:space="preserve"> 2024 m. gruodžio 31 d.</w:t>
      </w:r>
    </w:p>
    <w:p w14:paraId="3AFF883E" w14:textId="09E1EA6E" w:rsidR="006E38C1" w:rsidRDefault="00233A6D" w:rsidP="006E38C1">
      <w:pPr>
        <w:pStyle w:val="Bodytext10"/>
        <w:spacing w:after="0"/>
        <w:ind w:firstLine="709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6E38C1">
        <w:rPr>
          <w:rFonts w:ascii="Times New Roman" w:hAnsi="Times New Roman" w:cs="Times New Roman"/>
          <w:sz w:val="24"/>
          <w:szCs w:val="24"/>
          <w:lang w:val="lt"/>
        </w:rPr>
        <w:t>Atsižvelgiant į tai, kad Konvencijos Susitariančiosios Šalys prie peržiūrėtos Konvencijos taisyklių taikymo pereina ne vienu metu, ir siekiant, kad nesusidaryt</w:t>
      </w:r>
      <w:r w:rsidR="000671CB" w:rsidRPr="006E38C1">
        <w:rPr>
          <w:rFonts w:ascii="Times New Roman" w:hAnsi="Times New Roman" w:cs="Times New Roman"/>
          <w:sz w:val="24"/>
          <w:szCs w:val="24"/>
          <w:lang w:val="lt"/>
        </w:rPr>
        <w:t>ų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 mažiau palanki padėtis dėl kilmės kumuliacijos taikymo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>,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 vienerių metų laikotarpiui 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>nuo 2025 m</w:t>
      </w:r>
      <w:r w:rsidR="008A513A" w:rsidRPr="006E38C1">
        <w:rPr>
          <w:rFonts w:ascii="Times New Roman" w:hAnsi="Times New Roman" w:cs="Times New Roman"/>
          <w:sz w:val="24"/>
          <w:szCs w:val="24"/>
          <w:lang w:val="lt"/>
        </w:rPr>
        <w:t>.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 xml:space="preserve"> sausio 1 d. iki 2025 m. gruodžio 31 d. buvo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nustatytos pereinamojo laikotarpio nuostatos dėl </w:t>
      </w:r>
      <w:r w:rsidR="000671CB" w:rsidRPr="006E38C1">
        <w:rPr>
          <w:rFonts w:ascii="Times New Roman" w:hAnsi="Times New Roman" w:cs="Times New Roman"/>
          <w:sz w:val="24"/>
          <w:szCs w:val="24"/>
          <w:lang w:val="lt"/>
        </w:rPr>
        <w:t xml:space="preserve">senosios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>Konvencijos taikymo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 xml:space="preserve">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– galimybė iki 2025 m. gruodžio 31 d. taikyti </w:t>
      </w:r>
      <w:r w:rsidR="000671CB" w:rsidRPr="006E38C1">
        <w:rPr>
          <w:rFonts w:ascii="Times New Roman" w:hAnsi="Times New Roman" w:cs="Times New Roman"/>
          <w:sz w:val="24"/>
          <w:szCs w:val="24"/>
          <w:lang w:val="lt"/>
        </w:rPr>
        <w:t xml:space="preserve">senosios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>Konvencijos taisykles kartu su peržiūrėtomis Konvencijos taisyklėmis.</w:t>
      </w:r>
      <w:r w:rsidR="006E38C1">
        <w:rPr>
          <w:sz w:val="24"/>
          <w:szCs w:val="24"/>
          <w:lang w:val="lt"/>
        </w:rPr>
        <w:t xml:space="preserve"> </w:t>
      </w:r>
      <w:r w:rsidR="006E38C1">
        <w:rPr>
          <w:rStyle w:val="Bodytext1"/>
          <w:rFonts w:ascii="Times New Roman" w:hAnsi="Times New Roman" w:cs="Times New Roman"/>
          <w:sz w:val="24"/>
          <w:szCs w:val="24"/>
        </w:rPr>
        <w:t>Tačiau n</w:t>
      </w:r>
      <w:r w:rsidR="006E38C1" w:rsidRPr="00DE6BD6">
        <w:rPr>
          <w:rStyle w:val="Bodytext1"/>
          <w:rFonts w:ascii="Times New Roman" w:hAnsi="Times New Roman" w:cs="Times New Roman"/>
          <w:sz w:val="24"/>
          <w:szCs w:val="24"/>
        </w:rPr>
        <w:t xml:space="preserve">uo 2026 m. sausio 1 d. nelieka galimybės alternatyviai (pasirinktinai) taikyti senųjų kilmės taisyklių ir peržiūrėtos Konvencijos kilmės taisyklių. </w:t>
      </w:r>
      <w:r w:rsidR="006E38C1">
        <w:rPr>
          <w:rStyle w:val="Bodytext1"/>
          <w:rFonts w:ascii="Times New Roman" w:hAnsi="Times New Roman" w:cs="Times New Roman"/>
          <w:sz w:val="24"/>
          <w:szCs w:val="24"/>
        </w:rPr>
        <w:t xml:space="preserve">Nuo 2026 m. sausio 1 d. Europos Sąjungos eksportuotojai taiko tik Peržiūrėtos Konvencijos kilmės taisykles.  </w:t>
      </w:r>
      <w:r w:rsidR="006E38C1" w:rsidRPr="006E38C1">
        <w:rPr>
          <w:rStyle w:val="Bodytext1"/>
          <w:rFonts w:ascii="Times New Roman" w:hAnsi="Times New Roman" w:cs="Times New Roman"/>
          <w:sz w:val="24"/>
          <w:szCs w:val="24"/>
        </w:rPr>
        <w:t xml:space="preserve">Nuo 2026 m. sausio 1 d. išduodamuose kilmės įrodymuose nebeturi būti įrašomas įrašas anglų kalba „REVISED RULES“. </w:t>
      </w:r>
      <w:r w:rsidR="006E38C1" w:rsidRPr="00DE6BD6">
        <w:rPr>
          <w:rStyle w:val="Bodytext1"/>
          <w:rFonts w:ascii="Times New Roman" w:hAnsi="Times New Roman" w:cs="Times New Roman"/>
          <w:sz w:val="24"/>
          <w:szCs w:val="24"/>
        </w:rPr>
        <w:t>Taigi, nuo 2026 m. sausio 1 d. yra dvi kumuliacijos zonos, kuriose įstrižinė kumuliacija gali būti vykdoma tik pagal senąsias kilmės taisykles arba peržiūrėtos PEM konvencijos kilmės taisykles.</w:t>
      </w:r>
    </w:p>
    <w:p w14:paraId="65D0F4D4" w14:textId="1C4D64A6" w:rsidR="006E38C1" w:rsidRPr="008B7894" w:rsidRDefault="006E38C1" w:rsidP="006E38C1">
      <w:pPr>
        <w:ind w:firstLine="72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P</w:t>
      </w:r>
      <w:r w:rsidRPr="00E97305">
        <w:rPr>
          <w:sz w:val="24"/>
          <w:szCs w:val="24"/>
          <w:lang w:val="lt"/>
        </w:rPr>
        <w:t>agal peržiūrėtos Konvencijos I priedėlio 8 straipsnio nuostatas kilmės įrodyme</w:t>
      </w:r>
      <w:r>
        <w:rPr>
          <w:sz w:val="24"/>
          <w:szCs w:val="24"/>
          <w:lang w:val="lt"/>
        </w:rPr>
        <w:t xml:space="preserve">, išduotame po 2026 m. sausio 1 d. </w:t>
      </w:r>
      <w:r w:rsidRPr="00E97305">
        <w:rPr>
          <w:sz w:val="24"/>
          <w:szCs w:val="24"/>
          <w:lang w:val="lt"/>
        </w:rPr>
        <w:t>įrašomas įrašas anglų kalba „CUMULATION APPLIED WITH (šalies (-</w:t>
      </w:r>
      <w:proofErr w:type="spellStart"/>
      <w:r w:rsidRPr="00E97305">
        <w:rPr>
          <w:sz w:val="24"/>
          <w:szCs w:val="24"/>
          <w:lang w:val="lt"/>
        </w:rPr>
        <w:t>ių</w:t>
      </w:r>
      <w:proofErr w:type="spellEnd"/>
      <w:r w:rsidRPr="00E97305">
        <w:rPr>
          <w:sz w:val="24"/>
          <w:szCs w:val="24"/>
          <w:lang w:val="lt"/>
        </w:rPr>
        <w:t>) pavadinimas (-ai) anglų kalba) tais atvejais, kai prekė įgyja kilmės statusą taikant kumuliaciją pagal peržiūrėtos Konvencijos I priedėlio 7 straipsnio nuostatas</w:t>
      </w:r>
      <w:r>
        <w:rPr>
          <w:sz w:val="24"/>
          <w:szCs w:val="24"/>
          <w:lang w:val="lt"/>
        </w:rPr>
        <w:t xml:space="preserve"> </w:t>
      </w:r>
      <w:r w:rsidRPr="008B546A">
        <w:rPr>
          <w:sz w:val="24"/>
          <w:szCs w:val="24"/>
          <w:lang w:val="lt"/>
        </w:rPr>
        <w:t>(EUR.1 judėjimo sertifikatų 7 langelyje bei kilmės deklaracijos teksto pabaigoje)</w:t>
      </w:r>
      <w:r>
        <w:rPr>
          <w:sz w:val="24"/>
          <w:szCs w:val="24"/>
          <w:lang w:val="lt"/>
        </w:rPr>
        <w:t>.</w:t>
      </w:r>
    </w:p>
    <w:p w14:paraId="63C7F602" w14:textId="77777777" w:rsidR="00DE6BD6" w:rsidRPr="008A513A" w:rsidRDefault="00DE6BD6" w:rsidP="00DE6BD6">
      <w:pPr>
        <w:pStyle w:val="Bodytext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6BD6" w:rsidRPr="008A513A" w:rsidSect="006F1DC6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136F" w14:textId="77777777" w:rsidR="00B2600D" w:rsidRDefault="00B2600D" w:rsidP="00233A6D">
      <w:r>
        <w:separator/>
      </w:r>
    </w:p>
  </w:endnote>
  <w:endnote w:type="continuationSeparator" w:id="0">
    <w:p w14:paraId="5D8215FF" w14:textId="77777777" w:rsidR="00B2600D" w:rsidRDefault="00B2600D" w:rsidP="0023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2ED3" w14:textId="77777777" w:rsidR="00B2600D" w:rsidRDefault="00B2600D" w:rsidP="00233A6D">
      <w:r>
        <w:separator/>
      </w:r>
    </w:p>
  </w:footnote>
  <w:footnote w:type="continuationSeparator" w:id="0">
    <w:p w14:paraId="2A4B3CCA" w14:textId="77777777" w:rsidR="00B2600D" w:rsidRDefault="00B2600D" w:rsidP="0023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35B83"/>
    <w:multiLevelType w:val="hybridMultilevel"/>
    <w:tmpl w:val="22D0CD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AC"/>
    <w:rsid w:val="0000186B"/>
    <w:rsid w:val="000034FB"/>
    <w:rsid w:val="000130B6"/>
    <w:rsid w:val="00030A44"/>
    <w:rsid w:val="00033241"/>
    <w:rsid w:val="00057BF9"/>
    <w:rsid w:val="000671CB"/>
    <w:rsid w:val="00090E94"/>
    <w:rsid w:val="000F0941"/>
    <w:rsid w:val="0011610A"/>
    <w:rsid w:val="001164F5"/>
    <w:rsid w:val="001323EB"/>
    <w:rsid w:val="0018332D"/>
    <w:rsid w:val="001928F5"/>
    <w:rsid w:val="00230B4B"/>
    <w:rsid w:val="00233A6D"/>
    <w:rsid w:val="00242A78"/>
    <w:rsid w:val="00251B76"/>
    <w:rsid w:val="00267783"/>
    <w:rsid w:val="00290303"/>
    <w:rsid w:val="002C563B"/>
    <w:rsid w:val="00335D80"/>
    <w:rsid w:val="0034483F"/>
    <w:rsid w:val="00361236"/>
    <w:rsid w:val="003C1AA8"/>
    <w:rsid w:val="003C5A2A"/>
    <w:rsid w:val="003D50F5"/>
    <w:rsid w:val="003D5E6D"/>
    <w:rsid w:val="00423E5F"/>
    <w:rsid w:val="0044369E"/>
    <w:rsid w:val="004500F3"/>
    <w:rsid w:val="004636D8"/>
    <w:rsid w:val="00474F61"/>
    <w:rsid w:val="00476888"/>
    <w:rsid w:val="004C6D8A"/>
    <w:rsid w:val="00510347"/>
    <w:rsid w:val="005110A5"/>
    <w:rsid w:val="005319B2"/>
    <w:rsid w:val="005379C6"/>
    <w:rsid w:val="00565318"/>
    <w:rsid w:val="00633766"/>
    <w:rsid w:val="00672759"/>
    <w:rsid w:val="006B6EC8"/>
    <w:rsid w:val="006C04BA"/>
    <w:rsid w:val="006D3FD6"/>
    <w:rsid w:val="006E38C1"/>
    <w:rsid w:val="006F1DC6"/>
    <w:rsid w:val="0075369E"/>
    <w:rsid w:val="0075526B"/>
    <w:rsid w:val="00780263"/>
    <w:rsid w:val="00781F14"/>
    <w:rsid w:val="007A26B2"/>
    <w:rsid w:val="007B44EF"/>
    <w:rsid w:val="007B75C1"/>
    <w:rsid w:val="007C1AEE"/>
    <w:rsid w:val="007D1F37"/>
    <w:rsid w:val="007F0F9B"/>
    <w:rsid w:val="00822535"/>
    <w:rsid w:val="008320DE"/>
    <w:rsid w:val="00834C87"/>
    <w:rsid w:val="00844370"/>
    <w:rsid w:val="008A513A"/>
    <w:rsid w:val="008B546A"/>
    <w:rsid w:val="008B7894"/>
    <w:rsid w:val="008D0B1C"/>
    <w:rsid w:val="008D4410"/>
    <w:rsid w:val="008E03A1"/>
    <w:rsid w:val="00993FC1"/>
    <w:rsid w:val="00AD67C7"/>
    <w:rsid w:val="00AE17AC"/>
    <w:rsid w:val="00B14C92"/>
    <w:rsid w:val="00B2600D"/>
    <w:rsid w:val="00B6720B"/>
    <w:rsid w:val="00B679B6"/>
    <w:rsid w:val="00B75F9D"/>
    <w:rsid w:val="00B87C2E"/>
    <w:rsid w:val="00BC19AA"/>
    <w:rsid w:val="00BD3C08"/>
    <w:rsid w:val="00BD5E2F"/>
    <w:rsid w:val="00BF6E8B"/>
    <w:rsid w:val="00C260E8"/>
    <w:rsid w:val="00C34947"/>
    <w:rsid w:val="00C42D27"/>
    <w:rsid w:val="00C43820"/>
    <w:rsid w:val="00C57289"/>
    <w:rsid w:val="00CA4B37"/>
    <w:rsid w:val="00D6541E"/>
    <w:rsid w:val="00DE687C"/>
    <w:rsid w:val="00DE6BD6"/>
    <w:rsid w:val="00DF21AE"/>
    <w:rsid w:val="00E2005D"/>
    <w:rsid w:val="00E2555C"/>
    <w:rsid w:val="00E3608C"/>
    <w:rsid w:val="00E76FB2"/>
    <w:rsid w:val="00E97305"/>
    <w:rsid w:val="00EB589D"/>
    <w:rsid w:val="00F03134"/>
    <w:rsid w:val="00F24A76"/>
    <w:rsid w:val="00F33727"/>
    <w:rsid w:val="00F65D9E"/>
    <w:rsid w:val="00F90ABE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B4688"/>
  <w15:chartTrackingRefBased/>
  <w15:docId w15:val="{14676ED1-96E7-4AE3-9344-D368D53D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7A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17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E17AC"/>
    <w:rPr>
      <w:lang w:eastAsia="en-US"/>
    </w:rPr>
  </w:style>
  <w:style w:type="character" w:styleId="Hyperlink">
    <w:name w:val="Hyperlink"/>
    <w:rsid w:val="00AE17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C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14C9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233A6D"/>
  </w:style>
  <w:style w:type="character" w:customStyle="1" w:styleId="FootnoteTextChar">
    <w:name w:val="Footnote Text Char"/>
    <w:basedOn w:val="DefaultParagraphFont"/>
    <w:link w:val="FootnoteText"/>
    <w:rsid w:val="00233A6D"/>
    <w:rPr>
      <w:lang w:eastAsia="en-US"/>
    </w:rPr>
  </w:style>
  <w:style w:type="character" w:styleId="FootnoteReference">
    <w:name w:val="footnote reference"/>
    <w:basedOn w:val="DefaultParagraphFont"/>
    <w:uiPriority w:val="99"/>
    <w:rsid w:val="00233A6D"/>
    <w:rPr>
      <w:vertAlign w:val="superscript"/>
    </w:rPr>
  </w:style>
  <w:style w:type="table" w:styleId="TableGrid">
    <w:name w:val="Table Grid"/>
    <w:basedOn w:val="TableNormal"/>
    <w:rsid w:val="008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608C"/>
    <w:rPr>
      <w:lang w:eastAsia="en-US"/>
    </w:rPr>
  </w:style>
  <w:style w:type="character" w:styleId="CommentReference">
    <w:name w:val="annotation reference"/>
    <w:basedOn w:val="DefaultParagraphFont"/>
    <w:rsid w:val="00D654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541E"/>
  </w:style>
  <w:style w:type="character" w:customStyle="1" w:styleId="CommentTextChar">
    <w:name w:val="Comment Text Char"/>
    <w:basedOn w:val="DefaultParagraphFont"/>
    <w:link w:val="CommentText"/>
    <w:rsid w:val="00D654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541E"/>
    <w:rPr>
      <w:b/>
      <w:bCs/>
      <w:lang w:eastAsia="en-US"/>
    </w:rPr>
  </w:style>
  <w:style w:type="character" w:customStyle="1" w:styleId="Bodytext1">
    <w:name w:val="Body text|1_"/>
    <w:basedOn w:val="DefaultParagraphFont"/>
    <w:link w:val="Bodytext10"/>
    <w:rsid w:val="008A513A"/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al"/>
    <w:link w:val="Bodytext1"/>
    <w:rsid w:val="008A513A"/>
    <w:pPr>
      <w:widowControl w:val="0"/>
      <w:spacing w:after="260"/>
    </w:pPr>
    <w:rPr>
      <w:rFonts w:ascii="Arial" w:eastAsia="Arial" w:hAnsi="Arial" w:cs="Arial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ation-customs.ec.europa.eu/customs-4/international-affairs/pan-euro-mediterranean-cumulation-and-pem-convention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T/TXT/PDF/?uri=OJ:L_20240039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04C0-B9EF-413F-A876-85BF58D7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2637</Characters>
  <Application>Microsoft Office Word</Application>
  <DocSecurity>0</DocSecurity>
  <Lines>37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Trukšinienė</dc:creator>
  <cp:keywords/>
  <dc:description/>
  <cp:lastModifiedBy>Lina Valatkė</cp:lastModifiedBy>
  <cp:revision>4</cp:revision>
  <cp:lastPrinted>2022-11-25T12:26:00Z</cp:lastPrinted>
  <dcterms:created xsi:type="dcterms:W3CDTF">2026-04-10T08:37:00Z</dcterms:created>
  <dcterms:modified xsi:type="dcterms:W3CDTF">2026-04-13T12:40:00Z</dcterms:modified>
</cp:coreProperties>
</file>