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57CB" w14:textId="77777777" w:rsidR="00A37875" w:rsidRPr="00A37875" w:rsidRDefault="00A37875" w:rsidP="00A37875">
      <w:pPr>
        <w:spacing w:after="0" w:line="300" w:lineRule="atLeast"/>
        <w:ind w:firstLine="851"/>
        <w:jc w:val="both"/>
        <w:rPr>
          <w:rFonts w:ascii="Times New Roman" w:hAnsi="Times New Roman" w:cs="Times New Roman"/>
          <w:b/>
          <w:bCs/>
        </w:rPr>
      </w:pPr>
      <w:r w:rsidRPr="00A37875">
        <w:rPr>
          <w:rFonts w:ascii="Times New Roman" w:hAnsi="Times New Roman" w:cs="Times New Roman"/>
          <w:b/>
          <w:bCs/>
        </w:rPr>
        <w:t>Importuojamos programinės įrangos muitinis vertinimas</w:t>
      </w:r>
    </w:p>
    <w:p w14:paraId="20668826" w14:textId="77777777" w:rsidR="00FA3AC8" w:rsidRPr="006A0C72" w:rsidRDefault="00FA3AC8" w:rsidP="00FA3AC8">
      <w:pPr>
        <w:spacing w:after="0" w:line="300" w:lineRule="atLeast"/>
        <w:ind w:firstLine="851"/>
        <w:jc w:val="both"/>
        <w:rPr>
          <w:rFonts w:ascii="Times New Roman" w:hAnsi="Times New Roman" w:cs="Times New Roman"/>
          <w:b/>
          <w:bCs/>
        </w:rPr>
      </w:pPr>
    </w:p>
    <w:p w14:paraId="4D4AFDF4"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Pažymėtina, kad ES muitinį įvertinimą reglamentuojančiuose teisės aktuose atskiras laikmenų (</w:t>
      </w:r>
      <w:proofErr w:type="spellStart"/>
      <w:r w:rsidRPr="006A0C72">
        <w:rPr>
          <w:rFonts w:ascii="Times New Roman" w:hAnsi="Times New Roman" w:cs="Times New Roman"/>
        </w:rPr>
        <w:t>carrier</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media</w:t>
      </w:r>
      <w:proofErr w:type="spellEnd"/>
      <w:r w:rsidRPr="006A0C72">
        <w:rPr>
          <w:rFonts w:ascii="Times New Roman" w:hAnsi="Times New Roman" w:cs="Times New Roman"/>
        </w:rPr>
        <w:t>), įrašytos į laikmenas programinės įrangos (</w:t>
      </w:r>
      <w:proofErr w:type="spellStart"/>
      <w:r w:rsidRPr="006A0C72">
        <w:rPr>
          <w:rFonts w:ascii="Times New Roman" w:hAnsi="Times New Roman" w:cs="Times New Roman"/>
        </w:rPr>
        <w:t>software</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included</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in</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the</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carrier</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media</w:t>
      </w:r>
      <w:proofErr w:type="spellEnd"/>
      <w:r w:rsidRPr="006A0C72">
        <w:rPr>
          <w:rFonts w:ascii="Times New Roman" w:hAnsi="Times New Roman" w:cs="Times New Roman"/>
        </w:rPr>
        <w:t>), standartinės (</w:t>
      </w:r>
      <w:proofErr w:type="spellStart"/>
      <w:r w:rsidRPr="006A0C72">
        <w:rPr>
          <w:rFonts w:ascii="Times New Roman" w:hAnsi="Times New Roman" w:cs="Times New Roman"/>
        </w:rPr>
        <w:t>normalized</w:t>
      </w:r>
      <w:proofErr w:type="spellEnd"/>
      <w:r w:rsidRPr="006A0C72">
        <w:rPr>
          <w:rFonts w:ascii="Times New Roman" w:hAnsi="Times New Roman" w:cs="Times New Roman"/>
        </w:rPr>
        <w:t>) ir nestandartinės (</w:t>
      </w:r>
      <w:proofErr w:type="spellStart"/>
      <w:r w:rsidRPr="006A0C72">
        <w:rPr>
          <w:rFonts w:ascii="Times New Roman" w:hAnsi="Times New Roman" w:cs="Times New Roman"/>
        </w:rPr>
        <w:t>specific</w:t>
      </w:r>
      <w:proofErr w:type="spellEnd"/>
      <w:r w:rsidRPr="006A0C72">
        <w:rPr>
          <w:rFonts w:ascii="Times New Roman" w:hAnsi="Times New Roman" w:cs="Times New Roman"/>
        </w:rPr>
        <w:t>) programinės įrangos (</w:t>
      </w:r>
      <w:proofErr w:type="spellStart"/>
      <w:r w:rsidRPr="006A0C72">
        <w:rPr>
          <w:rFonts w:ascii="Times New Roman" w:hAnsi="Times New Roman" w:cs="Times New Roman"/>
        </w:rPr>
        <w:t>software</w:t>
      </w:r>
      <w:proofErr w:type="spellEnd"/>
      <w:r w:rsidRPr="006A0C72">
        <w:rPr>
          <w:rFonts w:ascii="Times New Roman" w:hAnsi="Times New Roman" w:cs="Times New Roman"/>
        </w:rPr>
        <w:t xml:space="preserve">) reguliavimas muitinio įvertinimo tikslais nenustatytas. Importuojamos programinės įrangos muitinės vertės nustatymui taikomos tos pačios galiojančios muitinio įvertinimo taisyklės. Nustatant importuojamos programinės įrangos muitinę vertę, vadovaujantis Sąjungos muitinės kodekso (toliau – SMK) 70–72 str. (sandorio vertės metodu), bendra faktiškai sumokėta arba mokėtina kaina, į kurią įeina laikmenų ir programinės įrangos, neišskiriant standartinės ir nestandartinės programinės įrangos, vertė yra pagrindas muitinei vertei nustatyti. </w:t>
      </w:r>
    </w:p>
    <w:p w14:paraId="50FD65E9"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Atkreiptinas dėmesys, kad ES Teisingumo Teismas bylose C-306/04 ir C-41/04 priėmė sprendimus, kuriuose nustatė, kad programinės įrangos muitinė vertė yra bendra sumokėta kaina, kuri susideda iš laikmenų vertės ir joje įrašytų duomenų vertės. </w:t>
      </w:r>
    </w:p>
    <w:p w14:paraId="243B878B"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Muitinės kodekso komiteto Muitinio įvertinimo </w:t>
      </w:r>
      <w:proofErr w:type="spellStart"/>
      <w:r w:rsidRPr="006A0C72">
        <w:rPr>
          <w:rFonts w:ascii="Times New Roman" w:hAnsi="Times New Roman" w:cs="Times New Roman"/>
        </w:rPr>
        <w:t>kompendiumo</w:t>
      </w:r>
      <w:proofErr w:type="spellEnd"/>
      <w:r w:rsidRPr="006A0C72">
        <w:rPr>
          <w:rFonts w:ascii="Times New Roman" w:hAnsi="Times New Roman" w:cs="Times New Roman"/>
        </w:rPr>
        <w:t xml:space="preserve"> 26 išvados A, B, C skyriuose pateikiamas programinės įrangos ir susijusių technologijų vertinimas, remiantis Bendrijos muitinės kodekso 32 str. 1 dalies b punktu (minėto teisės akto nuostatos atitinka SMK 71 straipsnio 1 dalies b punktą). </w:t>
      </w:r>
    </w:p>
    <w:p w14:paraId="1ACBA88E"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Tuo atveju, jei programinė įranga (nematerialios pagalbinės priemonės/komponentai) yra neatsiejama importuojamų prekių dalis, reikalinga importuojamų prekių veikimui arba veikimo efektyvumui pagerinti, o pirkėjas ją tiekia nemokamai ar sumažintomis kainomis, muitinio įvertinimo tikslams ji traktuotina, taikant SMK 71 str. 1 dalies b punkto i papunktį. </w:t>
      </w:r>
    </w:p>
    <w:p w14:paraId="120E06E3"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Tuo atveju, jei programinės įrangos vertė nebuvo įskaityta, taikant sandorio vertės metodą, ji pridedama prie faktiškai sumokėtos arba mokėtinos importuojamų prekių kainos taip pat ir tais atvejais, jeigu ši įranga pagaminta ES. Tuo atveju, jei programinė įranga (nematerialios pagalbinės priemonės) yra būtina importuojamų prekių gamybos procesui, o pirkėjas ją tiekia nemokamai ar sumažintomis kainomis, muitinio įvertinimo reikmėms ji traktuotina, taikant SMK 71 str. 1 dalies b punkto iv papunktį. Jeigu ši įranga pagaminta ne ES, jos vertė, jeigu nebuvo įskaityta, pridedama prie faktiškai sumokėtos arba mokėtinos importuojamų prekių kainos.</w:t>
      </w:r>
    </w:p>
    <w:p w14:paraId="3F2AE7E4"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Garso ir kinematografinių įrašų, pateikiamų magnetinėse juostose (vaizdajuostėse) ir kitose automatinio duomenų apdorojimo įrangai skirtose laikmenose, muitinė vertė išnagrinėta Muitinės kodekso komiteto Muitinio įvertinimo </w:t>
      </w:r>
      <w:proofErr w:type="spellStart"/>
      <w:r w:rsidRPr="006A0C72">
        <w:rPr>
          <w:rFonts w:ascii="Times New Roman" w:hAnsi="Times New Roman" w:cs="Times New Roman"/>
        </w:rPr>
        <w:t>kompendiumo</w:t>
      </w:r>
      <w:proofErr w:type="spellEnd"/>
      <w:r w:rsidRPr="006A0C72">
        <w:rPr>
          <w:rFonts w:ascii="Times New Roman" w:hAnsi="Times New Roman" w:cs="Times New Roman"/>
        </w:rPr>
        <w:t xml:space="preserve"> 26 išvados D skyriuje. </w:t>
      </w:r>
    </w:p>
    <w:p w14:paraId="6C0EDCDC"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Vadovaujantis Europos Tarybos direktyvos Nr. 2006/112/EB 85 str. ir Pridėtinės vertės mokesčio (PVM) įstatymo 15 str. 15 dalimi importo PVM apmokestinamosios vertės pagrindas – importuojamų prekių muitinė vertė, nustatyta pagal galiojančius ES muitų teisės aktus. </w:t>
      </w:r>
    </w:p>
    <w:p w14:paraId="113BC542"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PVM įstatymo 2 str. 22 dalyje nustatyta, kad preke nelaikoma nestandartinė programinė įranga, o tokios nestandartizuotos programinės įrangos kūrimo, pardavimo ar perdavimo sandoriai laikomi paslaugų teikimo sandoriais. Jeigu programinė įranga siunčiama, papildomai atnaujinama elektroniniu būdu, svarbu išsiaiškinti, ar tai yra sietinas su importuojama preke sandoris, ar yra savarankiškas paslaugų teikimo sandoris. </w:t>
      </w:r>
    </w:p>
    <w:p w14:paraId="3D0B26A8" w14:textId="77777777" w:rsidR="00FA3AC8" w:rsidRPr="006A0C72" w:rsidRDefault="00FA3AC8" w:rsidP="00FA3AC8">
      <w:pPr>
        <w:spacing w:after="0" w:line="300" w:lineRule="atLeast"/>
        <w:ind w:firstLine="851"/>
        <w:jc w:val="both"/>
        <w:rPr>
          <w:rFonts w:ascii="Times New Roman" w:hAnsi="Times New Roman" w:cs="Times New Roman"/>
        </w:rPr>
      </w:pPr>
      <w:r w:rsidRPr="006A0C72">
        <w:rPr>
          <w:rFonts w:ascii="Times New Roman" w:hAnsi="Times New Roman" w:cs="Times New Roman"/>
        </w:rPr>
        <w:t>Nustatydami programinės įrangos muitinę vertę turėtume vadovautis bendrosiomis nuostatomis ir principais, išdėstytais PPO Susitarime dėl Bendrojo susitarimo dėl muitų tarifų ir prekybos VII str. įgyvendinimo ir ES muitinį įvertinimą reglamentuojančiuose teisės aktuose. Bendra faktiškai sumokėta arba mokėtina kaina turėtų būti pagrindas programinės įrangos muitinei vertei nustatyti sandorio vertės metodu, jeigu šią įrangą galima susieti su importuojama preke.</w:t>
      </w:r>
    </w:p>
    <w:p w14:paraId="5FB9D6D1" w14:textId="77777777" w:rsidR="00002CDD" w:rsidRDefault="00002CDD"/>
    <w:sectPr w:rsidR="00002C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C8"/>
    <w:rsid w:val="00002CDD"/>
    <w:rsid w:val="00276F2E"/>
    <w:rsid w:val="0073245D"/>
    <w:rsid w:val="00A37875"/>
    <w:rsid w:val="00E74304"/>
    <w:rsid w:val="00F06773"/>
    <w:rsid w:val="00FA3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8913"/>
  <w15:chartTrackingRefBased/>
  <w15:docId w15:val="{7E3CA8C6-3FE0-4D43-A1EB-42A2ED9F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AC8"/>
  </w:style>
  <w:style w:type="paragraph" w:styleId="Antrat1">
    <w:name w:val="heading 1"/>
    <w:basedOn w:val="prastasis"/>
    <w:next w:val="prastasis"/>
    <w:link w:val="Antrat1Diagrama"/>
    <w:uiPriority w:val="9"/>
    <w:qFormat/>
    <w:rsid w:val="00FA3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3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3A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3A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3A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3A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3A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3A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3A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3A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3A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3A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3A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3A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3A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3A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3A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3A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3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3A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3A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3A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3A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3AC8"/>
    <w:rPr>
      <w:i/>
      <w:iCs/>
      <w:color w:val="404040" w:themeColor="text1" w:themeTint="BF"/>
    </w:rPr>
  </w:style>
  <w:style w:type="paragraph" w:styleId="Sraopastraipa">
    <w:name w:val="List Paragraph"/>
    <w:basedOn w:val="prastasis"/>
    <w:uiPriority w:val="34"/>
    <w:qFormat/>
    <w:rsid w:val="00FA3AC8"/>
    <w:pPr>
      <w:ind w:left="720"/>
      <w:contextualSpacing/>
    </w:pPr>
  </w:style>
  <w:style w:type="character" w:styleId="Rykuspabraukimas">
    <w:name w:val="Intense Emphasis"/>
    <w:basedOn w:val="Numatytasispastraiposriftas"/>
    <w:uiPriority w:val="21"/>
    <w:qFormat/>
    <w:rsid w:val="00FA3AC8"/>
    <w:rPr>
      <w:i/>
      <w:iCs/>
      <w:color w:val="0F4761" w:themeColor="accent1" w:themeShade="BF"/>
    </w:rPr>
  </w:style>
  <w:style w:type="paragraph" w:styleId="Iskirtacitata">
    <w:name w:val="Intense Quote"/>
    <w:basedOn w:val="prastasis"/>
    <w:next w:val="prastasis"/>
    <w:link w:val="IskirtacitataDiagrama"/>
    <w:uiPriority w:val="30"/>
    <w:qFormat/>
    <w:rsid w:val="00FA3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3AC8"/>
    <w:rPr>
      <w:i/>
      <w:iCs/>
      <w:color w:val="0F4761" w:themeColor="accent1" w:themeShade="BF"/>
    </w:rPr>
  </w:style>
  <w:style w:type="character" w:styleId="Rykinuoroda">
    <w:name w:val="Intense Reference"/>
    <w:basedOn w:val="Numatytasispastraiposriftas"/>
    <w:uiPriority w:val="32"/>
    <w:qFormat/>
    <w:rsid w:val="00FA3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3348</Characters>
  <Application>Microsoft Office Word</Application>
  <DocSecurity>0</DocSecurity>
  <Lines>45</Lines>
  <Paragraphs>11</Paragraphs>
  <ScaleCrop>false</ScaleCrop>
  <Company>LIETUVOS RESPUBLIKOS MUITINĖ</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Liuminata Vainauskienė</dc:creator>
  <cp:keywords/>
  <dc:description/>
  <cp:lastModifiedBy>Liuminata Vainauskienė</cp:lastModifiedBy>
  <cp:revision>3</cp:revision>
  <dcterms:created xsi:type="dcterms:W3CDTF">2026-04-21T08:35:00Z</dcterms:created>
  <dcterms:modified xsi:type="dcterms:W3CDTF">2026-04-21T09:49:00Z</dcterms:modified>
</cp:coreProperties>
</file>